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Acme Co Service Agreement</w:t>
      </w:r>
    </w:p>
    <w:p/>
    <w:p>
      <w:r>
        <w:t xml:space="preserve">This agreement is between Acme Co ("the Client") and Bright Path Consulting ("the Supplier") for the provision of ongoing maintenance services.</w:t>
      </w:r>
    </w:p>
    <w:p/>
    <w:p>
      <w:pPr>
        <w:pStyle w:val="Heading2"/>
      </w:pPr>
      <w:r>
        <w:t xml:space="preserve">Key Terms</w:t>
      </w:r>
    </w:p>
    <w:p>
      <w:r>
        <w:t xml:space="preserve">Payment terms: Invoices are payable within 30 days of receipt.</w:t>
      </w:r>
    </w:p>
    <w:p>
      <w:r>
        <w:t xml:space="preserve">Contract term: 12 months from the effective date, renewing automatically unless either party gives 60 days' notice.</w:t>
      </w:r>
    </w:p>
    <w:p>
      <w:r>
        <w:t xml:space="preserve">Liability cap: The Supplier's total liability under this agreement shall not exceed $50,000 in any 12-month period.</w:t>
      </w:r>
    </w:p>
    <w:p>
      <w:r>
        <w:t xml:space="preserve">Response time: The Supplier will acknowledge all support requests within 4 business hours.</w:t>
      </w:r>
    </w:p>
    <w:p/>
    <w:p>
      <w:pPr>
        <w:pStyle w:val="Heading2"/>
      </w:pPr>
      <w:r>
        <w:t xml:space="preserve">Deliverables</w:t>
      </w:r>
    </w:p>
    <w:p>
      <w:r>
        <w:t xml:space="preserve">Monthly maintenance report, quarterly system health review, and an annual security audit.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2026-07-23T20:59:03.263Z</dcterms:created>
  <dcterms:modified xsi:type="dcterms:W3CDTF">2026-07-23T20:59:03.274Z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